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8D" w:rsidRPr="0003671A" w:rsidRDefault="0003671A">
      <w:pPr>
        <w:rPr>
          <w:rFonts w:ascii="Times New Roman" w:hAnsi="Times New Roman" w:cs="Times New Roman"/>
          <w:sz w:val="20"/>
          <w:szCs w:val="20"/>
        </w:rPr>
      </w:pPr>
      <w:r w:rsidRPr="0003671A">
        <w:rPr>
          <w:rFonts w:ascii="Times New Roman" w:hAnsi="Times New Roman" w:cs="Times New Roman"/>
          <w:sz w:val="20"/>
          <w:szCs w:val="20"/>
        </w:rPr>
        <w:t>Pytania i odpowiedzi 25.03.2021 r.</w:t>
      </w:r>
    </w:p>
    <w:p w:rsidR="0003671A" w:rsidRPr="0003671A" w:rsidRDefault="0003671A" w:rsidP="0003671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3671A">
        <w:rPr>
          <w:rFonts w:ascii="Times New Roman" w:eastAsia="Times New Roman" w:hAnsi="Times New Roman" w:cs="Times New Roman"/>
          <w:sz w:val="20"/>
          <w:szCs w:val="20"/>
        </w:rPr>
        <w:t>W odpowiedzi na Państwa zapytanie ofertowe, informujemy, że przeniesienie Państwa numerów do innego operatora nie może się odbyć z dniem 1.05.2021, gdyż jest to ustawowo dzień wolny od pracy. Ogólnopolski system PLI-CBD, za pomocą którego operatorzy przenoszą numerację pozwala na przeniesienie numerów do innego operatora tylko w dni pracujące, od poniedziałku do piątku. W związku z tym przeniesienie numerów może się odbyć w dniu 30.04.2021 lub w dniu 4.05.2021.</w:t>
      </w:r>
    </w:p>
    <w:p w:rsidR="0003671A" w:rsidRPr="0003671A" w:rsidRDefault="0003671A" w:rsidP="0003671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3671A">
        <w:rPr>
          <w:rFonts w:ascii="Times New Roman" w:eastAsia="Times New Roman" w:hAnsi="Times New Roman" w:cs="Times New Roman"/>
          <w:sz w:val="20"/>
          <w:szCs w:val="20"/>
        </w:rPr>
        <w:t>Państwa kryteria wyboru oferty wymagają od oferenta podania czasu na uruchomienie usługi. Jednak Państwa formularz ofertowy nie zawiera pozycji, gdzie możemy podać ten czas. Czy w związku z tym będziecie Państwo aktualizować formularz ofertowy?</w:t>
      </w:r>
    </w:p>
    <w:p w:rsidR="0003671A" w:rsidRDefault="00FE34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Odp.1 Zamawiający dopuszcza przeniesienie numerów w dniu 30.04.2021 r.</w:t>
      </w:r>
    </w:p>
    <w:p w:rsidR="00FE340B" w:rsidRDefault="00FE34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Odp.2 Z uwagi na błąd zmianie uległ pkt. 6 specyfikacji:</w:t>
      </w:r>
    </w:p>
    <w:p w:rsidR="009002D2" w:rsidRPr="009002D2" w:rsidRDefault="009002D2">
      <w:pPr>
        <w:rPr>
          <w:rFonts w:ascii="Times New Roman" w:hAnsi="Times New Roman" w:cs="Times New Roman"/>
          <w:b/>
          <w:sz w:val="20"/>
          <w:szCs w:val="20"/>
        </w:rPr>
      </w:pPr>
      <w:r w:rsidRPr="009002D2">
        <w:rPr>
          <w:rFonts w:ascii="Times New Roman" w:hAnsi="Times New Roman" w:cs="Times New Roman"/>
          <w:b/>
          <w:sz w:val="20"/>
          <w:szCs w:val="20"/>
        </w:rPr>
        <w:t>Było:</w:t>
      </w:r>
    </w:p>
    <w:p w:rsidR="009002D2" w:rsidRPr="009002D2" w:rsidRDefault="009002D2" w:rsidP="009002D2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002D2">
        <w:rPr>
          <w:rFonts w:ascii="Times New Roman" w:hAnsi="Times New Roman" w:cs="Times New Roman"/>
          <w:b/>
          <w:sz w:val="20"/>
          <w:szCs w:val="20"/>
        </w:rPr>
        <w:t>Kryteria wyboru oferty:</w:t>
      </w:r>
    </w:p>
    <w:p w:rsidR="009002D2" w:rsidRPr="009002D2" w:rsidRDefault="009002D2" w:rsidP="009002D2">
      <w:pPr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Przy wyborze najkorzystniejszej oferty Zamawiający będzie się kierował następującymi kryteriami: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1) Cena usługi – 60%,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2) </w:t>
      </w:r>
      <w:r w:rsidRPr="009002D2">
        <w:rPr>
          <w:rFonts w:ascii="Times New Roman" w:hAnsi="Times New Roman" w:cs="Times New Roman"/>
          <w:sz w:val="20"/>
          <w:szCs w:val="20"/>
        </w:rPr>
        <w:t>Suma cen brutto za 1min połączenia - 40%</w:t>
      </w:r>
    </w:p>
    <w:p w:rsidR="009002D2" w:rsidRPr="009002D2" w:rsidRDefault="009002D2" w:rsidP="009002D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ad 1) Cena usługi–A(X).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a) przyjmuje się, że najwyższą ilość punktów tj. 100, otrzyma cena brutto najniższa wśród cen zawartych w ofertach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b) pozostałe oferty zostaną przeliczone proporcjonalnie do najtańszej, punktowane będą w oparciu o  następujący wzór: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x 100</m:t>
          </m:r>
        </m:oMath>
      </m:oMathPara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gdzie: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A(x) – ilość punktów przyznana ofercie „x” za kryterium łączna cena usług brutto,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Kx</w:t>
      </w:r>
      <w:proofErr w:type="spellEnd"/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cena brutto zawarta w ofercie „x”.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Wartość podstawiana do wzoru punktacyjnego, to łączna wartość brutto usług w okresie trwania umowy, określona przez Wykonawcę w ofercie.</w:t>
      </w:r>
    </w:p>
    <w:p w:rsidR="009002D2" w:rsidRPr="009002D2" w:rsidRDefault="009002D2" w:rsidP="009002D2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ad 2) </w:t>
      </w:r>
      <w:r w:rsidRPr="009002D2">
        <w:rPr>
          <w:rFonts w:ascii="Times New Roman" w:hAnsi="Times New Roman" w:cs="Times New Roman"/>
          <w:b/>
          <w:sz w:val="20"/>
          <w:szCs w:val="20"/>
        </w:rPr>
        <w:t>Suma cen brutto za połączenia</w:t>
      </w:r>
      <w:r w:rsidRPr="009002D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– B(x).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a) przyjmuje się, że najwyższą ilość punktów tj. 100, otrzyma oferta, której suma cen brutto połączeń będzie najniższa,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b) pozostałe oferty zostaną przeliczone proporcjonalnie do oferty, która otrzymała 100 punktów.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Ix</m:t>
              </m:r>
            </m:num>
            <m:den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I</m:t>
              </m:r>
            </m:den>
          </m:f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x 100</m:t>
          </m:r>
        </m:oMath>
      </m:oMathPara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gdzie: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B(x) - ilość punktów przyznana ofercie „x” za kryterium „</w:t>
      </w:r>
      <w:r w:rsidRPr="009002D2">
        <w:rPr>
          <w:rFonts w:ascii="Times New Roman" w:hAnsi="Times New Roman" w:cs="Times New Roman"/>
          <w:sz w:val="20"/>
          <w:szCs w:val="20"/>
        </w:rPr>
        <w:t>Suma cen brutto za połączenia</w:t>
      </w: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”.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Ix – Oferta najkorzystniejsza w kryterium „</w:t>
      </w:r>
      <w:r w:rsidRPr="009002D2">
        <w:rPr>
          <w:rFonts w:ascii="Times New Roman" w:hAnsi="Times New Roman" w:cs="Times New Roman"/>
          <w:b/>
          <w:sz w:val="20"/>
          <w:szCs w:val="20"/>
        </w:rPr>
        <w:t>Suma cen brutto za połączenia</w:t>
      </w:r>
      <w:r w:rsidRPr="009002D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 - </w:t>
      </w:r>
      <w:r w:rsidRPr="009002D2">
        <w:rPr>
          <w:rFonts w:ascii="Times New Roman" w:hAnsi="Times New Roman" w:cs="Times New Roman"/>
          <w:sz w:val="20"/>
          <w:szCs w:val="20"/>
        </w:rPr>
        <w:t>Suma cen brutto za połączenia dla</w:t>
      </w: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badanej oferty x.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Łączna punktacja C wyliczana będzie ze wzoru: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 = A(X) x 60% + B(X) x 40%.</w:t>
      </w:r>
    </w:p>
    <w:p w:rsidR="009002D2" w:rsidRPr="009002D2" w:rsidRDefault="009002D2" w:rsidP="009002D2">
      <w:pPr>
        <w:spacing w:after="36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:rsidR="009002D2" w:rsidRDefault="009002D2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br w:type="page"/>
      </w:r>
    </w:p>
    <w:p w:rsidR="009002D2" w:rsidRPr="009002D2" w:rsidRDefault="009002D2">
      <w:pPr>
        <w:rPr>
          <w:rFonts w:ascii="Times New Roman" w:hAnsi="Times New Roman" w:cs="Times New Roman"/>
          <w:b/>
          <w:sz w:val="20"/>
          <w:szCs w:val="20"/>
        </w:rPr>
      </w:pPr>
      <w:r w:rsidRPr="009002D2">
        <w:rPr>
          <w:rFonts w:ascii="Times New Roman" w:hAnsi="Times New Roman" w:cs="Times New Roman"/>
          <w:b/>
          <w:sz w:val="20"/>
          <w:szCs w:val="20"/>
        </w:rPr>
        <w:lastRenderedPageBreak/>
        <w:t>Jest:</w:t>
      </w:r>
    </w:p>
    <w:p w:rsidR="009002D2" w:rsidRPr="009002D2" w:rsidRDefault="009002D2" w:rsidP="009002D2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002D2">
        <w:rPr>
          <w:rFonts w:ascii="Times New Roman" w:hAnsi="Times New Roman" w:cs="Times New Roman"/>
          <w:b/>
          <w:sz w:val="20"/>
          <w:szCs w:val="20"/>
        </w:rPr>
        <w:t>Kryteria wyboru oferty:</w:t>
      </w:r>
    </w:p>
    <w:p w:rsidR="009002D2" w:rsidRPr="009002D2" w:rsidRDefault="009002D2" w:rsidP="009002D2">
      <w:pPr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Przy wyborze najkorzystniejszej oferty Zamawiający będzie się kierował następującymi kryteriami:</w:t>
      </w:r>
    </w:p>
    <w:p w:rsidR="009002D2" w:rsidRPr="009002D2" w:rsidRDefault="009002D2" w:rsidP="009002D2">
      <w:pPr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Cena usługi – 100%,</w:t>
      </w:r>
    </w:p>
    <w:p w:rsidR="009002D2" w:rsidRPr="009002D2" w:rsidRDefault="009002D2" w:rsidP="009002D2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Cena usługi–A(X).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a) przyjmuje się, że najwyższą ilość punktów tj. 100, otrzyma cena brutto najniższa wśród cen zawartych w ofertach</w:t>
      </w:r>
    </w:p>
    <w:p w:rsidR="009002D2" w:rsidRPr="009002D2" w:rsidRDefault="009002D2" w:rsidP="009002D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b) pozostałe oferty zostaną przeliczone proporcjonalnie do najtańszej, punktowane będą w oparciu o  następujący wzór: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x 100</m:t>
          </m:r>
        </m:oMath>
      </m:oMathPara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gdzie: 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A(x) – ilość punktów przyznana ofercie „x” za kryterium łączna cena usług brutto,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Kx</w:t>
      </w:r>
      <w:proofErr w:type="spellEnd"/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cena brutto zawarta w ofercie „x”.</w:t>
      </w:r>
    </w:p>
    <w:p w:rsidR="009002D2" w:rsidRPr="009002D2" w:rsidRDefault="009002D2" w:rsidP="009002D2">
      <w:pPr>
        <w:pStyle w:val="Akapitzli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Wartość podstawiana do wzoru punktacyjnego, to łączna wartość brutto usług w okresie trwania umowy, określona przez Wykonawcę w ofercie.</w:t>
      </w:r>
    </w:p>
    <w:p w:rsidR="009002D2" w:rsidRPr="009002D2" w:rsidRDefault="009002D2" w:rsidP="009002D2">
      <w:pPr>
        <w:spacing w:after="12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002D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sectPr w:rsidR="009002D2" w:rsidRPr="0090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24F1"/>
    <w:multiLevelType w:val="hybridMultilevel"/>
    <w:tmpl w:val="2140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E55F9"/>
    <w:multiLevelType w:val="hybridMultilevel"/>
    <w:tmpl w:val="04C8CD72"/>
    <w:lvl w:ilvl="0" w:tplc="D0B09D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2BEC"/>
    <w:multiLevelType w:val="hybridMultilevel"/>
    <w:tmpl w:val="52C4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A"/>
    <w:rsid w:val="0003671A"/>
    <w:rsid w:val="0082008D"/>
    <w:rsid w:val="009002D2"/>
    <w:rsid w:val="00E63C93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7FA1-54E7-402D-AB9E-9671F73F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dcterms:created xsi:type="dcterms:W3CDTF">2021-03-25T10:50:00Z</dcterms:created>
  <dcterms:modified xsi:type="dcterms:W3CDTF">2021-03-25T11:17:00Z</dcterms:modified>
</cp:coreProperties>
</file>